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БРЯНСКАЯ ОБЛАСТЬ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РОГНЕДИНСКИЙ   РАЙОН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ШАРОВИЧСКИЙ  СЕЛЬСКИЙ   СОВЕТ НАРОДНЫХ ДЕПУТАТОВ</w:t>
      </w: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1365" w:rsidRDefault="004A1365" w:rsidP="004A1365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Е  Ш  Е  Н  И  Е</w:t>
      </w: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 2021 г. №  4-78</w:t>
      </w:r>
    </w:p>
    <w:p w:rsidR="004A1365" w:rsidRDefault="004A1365" w:rsidP="004A136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аровичи</w:t>
      </w:r>
      <w:proofErr w:type="spellEnd"/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81CD8">
        <w:rPr>
          <w:rFonts w:ascii="Times New Roman" w:hAnsi="Times New Roman"/>
          <w:sz w:val="28"/>
          <w:szCs w:val="28"/>
        </w:rPr>
        <w:t>проекте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                                     области на 2022 год </w:t>
      </w:r>
      <w:r>
        <w:rPr>
          <w:rFonts w:ascii="Times New Roman" w:hAnsi="Times New Roman"/>
          <w:sz w:val="28"/>
        </w:rPr>
        <w:t xml:space="preserve">и на плановый период </w:t>
      </w:r>
    </w:p>
    <w:p w:rsidR="004A1365" w:rsidRDefault="004A1365" w:rsidP="004A1365">
      <w:pPr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2023 и 2024 годов</w:t>
      </w:r>
    </w:p>
    <w:p w:rsidR="004A1365" w:rsidRDefault="004A1365" w:rsidP="004A1365">
      <w:pPr>
        <w:widowControl/>
        <w:ind w:left="284"/>
        <w:jc w:val="center"/>
        <w:rPr>
          <w:rFonts w:ascii="Times New Roman" w:hAnsi="Times New Roman"/>
          <w:sz w:val="28"/>
        </w:rPr>
      </w:pPr>
    </w:p>
    <w:p w:rsidR="004A1365" w:rsidRDefault="004A1365" w:rsidP="004A1365">
      <w:pPr>
        <w:widowControl/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ШАРОВИЧСКИЙ  СЕЛЬСКИЙ  СОВЕТ  НАРОДНЫХ  ДЕПУТАТОВ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 Ш  И  Л:</w:t>
      </w:r>
    </w:p>
    <w:p w:rsidR="004A1365" w:rsidRDefault="004A1365" w:rsidP="004A1365">
      <w:pPr>
        <w:widowControl/>
        <w:ind w:left="284" w:firstLine="567"/>
        <w:jc w:val="both"/>
        <w:rPr>
          <w:rFonts w:ascii="Times New Roman" w:hAnsi="Times New Roman"/>
          <w:sz w:val="28"/>
        </w:rPr>
      </w:pPr>
    </w:p>
    <w:p w:rsidR="004A1365" w:rsidRDefault="004A1365" w:rsidP="004A1365">
      <w:pPr>
        <w:widowControl/>
        <w:spacing w:line="36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основные характеристики </w:t>
      </w:r>
      <w:r w:rsidR="00081CD8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год: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в сумме </w:t>
      </w:r>
      <w:r>
        <w:rPr>
          <w:rFonts w:ascii="Times New Roman" w:hAnsi="Times New Roman"/>
          <w:color w:val="3366FF"/>
          <w:sz w:val="28"/>
          <w:szCs w:val="28"/>
        </w:rPr>
        <w:t xml:space="preserve">1485097  </w:t>
      </w:r>
      <w:r>
        <w:rPr>
          <w:rFonts w:ascii="Times New Roman" w:hAnsi="Times New Roman"/>
          <w:sz w:val="28"/>
          <w:szCs w:val="28"/>
        </w:rPr>
        <w:t xml:space="preserve">рублей; в том числе налоговые и неналоговые  доходы в сумме </w:t>
      </w:r>
      <w:r>
        <w:rPr>
          <w:rFonts w:ascii="Times New Roman" w:hAnsi="Times New Roman"/>
          <w:color w:val="3366FF"/>
          <w:sz w:val="28"/>
          <w:szCs w:val="28"/>
        </w:rPr>
        <w:t>396000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местного бюджета в сумме </w:t>
      </w:r>
      <w:r>
        <w:rPr>
          <w:rFonts w:ascii="Times New Roman" w:hAnsi="Times New Roman"/>
          <w:color w:val="3366FF"/>
          <w:sz w:val="28"/>
          <w:szCs w:val="28"/>
        </w:rPr>
        <w:t xml:space="preserve">1485097 </w:t>
      </w:r>
      <w:r>
        <w:rPr>
          <w:rFonts w:ascii="Times New Roman" w:hAnsi="Times New Roman"/>
          <w:sz w:val="28"/>
          <w:szCs w:val="28"/>
        </w:rPr>
        <w:t>рублей;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1 января 2023 года  0,0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</w:t>
      </w:r>
      <w:r w:rsidR="00081CD8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 на 2023 год  и 2024 годы: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на 2023 год в сумме </w:t>
      </w:r>
      <w:r>
        <w:rPr>
          <w:rFonts w:ascii="Times New Roman" w:hAnsi="Times New Roman"/>
          <w:color w:val="0000FF"/>
          <w:sz w:val="28"/>
          <w:szCs w:val="28"/>
        </w:rPr>
        <w:t xml:space="preserve">1076175 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 налоговые и неналоговые доходы в </w:t>
      </w:r>
      <w:r>
        <w:rPr>
          <w:rFonts w:ascii="Times New Roman" w:hAnsi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/>
          <w:color w:val="3366FF"/>
          <w:sz w:val="28"/>
          <w:szCs w:val="28"/>
        </w:rPr>
        <w:t xml:space="preserve">403000 </w:t>
      </w:r>
      <w:r>
        <w:rPr>
          <w:rFonts w:ascii="Times New Roman" w:hAnsi="Times New Roman"/>
          <w:sz w:val="28"/>
          <w:szCs w:val="28"/>
        </w:rPr>
        <w:t xml:space="preserve">рублей  и на 2024 год в сумме </w:t>
      </w:r>
      <w:r>
        <w:rPr>
          <w:rFonts w:ascii="Times New Roman" w:hAnsi="Times New Roman"/>
          <w:color w:val="0000FF"/>
          <w:sz w:val="28"/>
          <w:szCs w:val="28"/>
        </w:rPr>
        <w:t>1077511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в сумме </w:t>
      </w:r>
      <w:r>
        <w:rPr>
          <w:rFonts w:ascii="Times New Roman" w:hAnsi="Times New Roman"/>
          <w:color w:val="3366FF"/>
          <w:sz w:val="28"/>
          <w:szCs w:val="28"/>
        </w:rPr>
        <w:t>410000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местного бюджета на 2023 год в сумме </w:t>
      </w:r>
      <w:r>
        <w:rPr>
          <w:rFonts w:ascii="Times New Roman" w:hAnsi="Times New Roman"/>
          <w:color w:val="0000FF"/>
          <w:sz w:val="28"/>
          <w:szCs w:val="28"/>
        </w:rPr>
        <w:t>1076175</w:t>
      </w:r>
      <w:r>
        <w:rPr>
          <w:rFonts w:ascii="Times New Roman" w:hAnsi="Times New Roman"/>
          <w:sz w:val="28"/>
          <w:szCs w:val="28"/>
        </w:rPr>
        <w:t xml:space="preserve">  рублей,  в том числе условно утвержденные  расходы в сумме </w:t>
      </w:r>
      <w:r>
        <w:rPr>
          <w:rFonts w:ascii="Times New Roman" w:hAnsi="Times New Roman"/>
          <w:color w:val="3366FF"/>
          <w:sz w:val="28"/>
          <w:szCs w:val="28"/>
        </w:rPr>
        <w:t>26904</w:t>
      </w:r>
      <w:r>
        <w:rPr>
          <w:rFonts w:ascii="Times New Roman" w:hAnsi="Times New Roman"/>
          <w:sz w:val="28"/>
          <w:szCs w:val="28"/>
        </w:rPr>
        <w:t xml:space="preserve"> рублей  и на 2024 год в сумме </w:t>
      </w:r>
      <w:r>
        <w:rPr>
          <w:rFonts w:ascii="Times New Roman" w:hAnsi="Times New Roman"/>
          <w:color w:val="0000FF"/>
          <w:sz w:val="28"/>
          <w:szCs w:val="28"/>
        </w:rPr>
        <w:t>1077511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в сумме </w:t>
      </w:r>
      <w:r>
        <w:rPr>
          <w:rFonts w:ascii="Times New Roman" w:hAnsi="Times New Roman"/>
          <w:color w:val="3366FF"/>
          <w:sz w:val="28"/>
          <w:szCs w:val="28"/>
        </w:rPr>
        <w:t>53876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1 января 2024 года  0,0 рублей, на 1 января 2025 года в сумме 0,0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прогнозируемые доходы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 и на плановый период  2023 и 2024 годов 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>
        <w:rPr>
          <w:rFonts w:ascii="Times New Roman" w:hAnsi="Times New Roman"/>
          <w:color w:val="000000"/>
          <w:sz w:val="28"/>
          <w:szCs w:val="28"/>
        </w:rPr>
        <w:t>нормативы распределения</w:t>
      </w:r>
      <w:r>
        <w:rPr>
          <w:rFonts w:ascii="Times New Roman" w:hAnsi="Times New Roman"/>
          <w:sz w:val="28"/>
          <w:szCs w:val="28"/>
        </w:rPr>
        <w:t xml:space="preserve"> доходов на 2022 год и на плановый период 2023 и 2024 годов между бюджетом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и бюджетом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Toc164233573"/>
      <w:r>
        <w:rPr>
          <w:rFonts w:ascii="Times New Roman" w:hAnsi="Times New Roman"/>
          <w:sz w:val="28"/>
          <w:szCs w:val="28"/>
        </w:rPr>
        <w:t>5.Установить следующий порядок определения части прибыли муниципальных унитарных предприятий, подлежащей перечислению в доходы местного бюджета: часть прибыли муниципальных унитарных предприятий, остающейся после уплаты налогов и иных обязательных платежей, подлежит перечислению в доходы местного бюджета в размере 5 процентов.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Toc164233586"/>
      <w:bookmarkEnd w:id="1"/>
      <w:r>
        <w:rPr>
          <w:rFonts w:ascii="Times New Roman" w:hAnsi="Times New Roman"/>
          <w:sz w:val="28"/>
          <w:szCs w:val="28"/>
        </w:rPr>
        <w:t xml:space="preserve">6. Установить ведомственную структуру расходов местного бюджета                           на 2022 год и на плановый период  2023 и 2024 годов  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 3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расходов классификации расходов на 2022 год и на плановый период 2023 и 2024 годов согласно </w:t>
      </w:r>
      <w:r>
        <w:rPr>
          <w:rFonts w:ascii="Times New Roman" w:hAnsi="Times New Roman"/>
          <w:color w:val="3366FF"/>
          <w:sz w:val="28"/>
          <w:szCs w:val="28"/>
        </w:rPr>
        <w:t>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Установить распределение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2022 год и на плановый период 2023 и 2024 годов согласно </w:t>
      </w:r>
      <w:r>
        <w:rPr>
          <w:rFonts w:ascii="Times New Roman" w:hAnsi="Times New Roman"/>
          <w:color w:val="3366FF"/>
          <w:sz w:val="28"/>
          <w:szCs w:val="28"/>
        </w:rPr>
        <w:t>приложению 5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Установить общий объем бюджетных ассигнований на исполнение публичных нормативных обязательств на 2022 год в сумме 0,0 рублей, на 2023 год в сумме 0,0 рублей и на 2024 год в сумме  0,0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Toc164233669"/>
      <w:r>
        <w:rPr>
          <w:rFonts w:ascii="Times New Roman" w:hAnsi="Times New Roman"/>
          <w:sz w:val="28"/>
          <w:szCs w:val="28"/>
        </w:rPr>
        <w:t xml:space="preserve">         10.</w:t>
      </w:r>
      <w:bookmarkEnd w:id="3"/>
      <w:r>
        <w:rPr>
          <w:rFonts w:ascii="Times New Roman" w:hAnsi="Times New Roman"/>
          <w:sz w:val="28"/>
          <w:szCs w:val="28"/>
        </w:rPr>
        <w:t xml:space="preserve"> Установить объем межбюджетных трансфертов, получаемых из бюджета муниципального района  на 2022 год в сумме 1089097,0 рублей, на 2023 год в сумме 673175,0 рублей и на 2024 год в сумме 667511,0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 Установить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на 2022  год в  сумме 10000  рублей, на 2023 год в сумме 2000 рублей и на 2024 год в сумме 2000 рублей.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приложением 3  к настоящему решению.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указанных субсидий устанавливается нормативными правовыми актами сельской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 Нормативные правовые акты, регулирующие предоставление субсидий юридическим лицам (за исключением субсидий муниципальным  учреждениям), индивидуальным предпринимателям, физическим лицам - производителям товаров, работ, услуг, должны определять: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условия и порядок предоставления субсидий;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возврата субсидий в бюджет поселения  в случае нарушения условий, установленных при их предоставлении.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 случаях предусмотренных соглашениями (договорами) о предоставлении субсидий;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распорядителей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их использований. </w:t>
      </w:r>
    </w:p>
    <w:p w:rsidR="004A1365" w:rsidRDefault="004A1365" w:rsidP="004A1365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13.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руководители исполнительных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муниципальных учреждений не вправе принимать в 2022 году 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образований дополнительными полномочиями, муниципальных учреждений - дополнительными функциями, требующими увеличения штатной численности персонала. </w:t>
      </w:r>
      <w:proofErr w:type="gramEnd"/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11 июля  2019 г. № 3-134 « 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от 26.05.2013 г. № 2-143 «Об утверждения Положения об оплате труда депутатов, выборных должностных лиц местного самоуправления, осуществляющих свои полномочия на постоянной основе (глава сельского поселения), муниципальных служащих, замещающих старшие должности (ведущий специалист-бухгалтер), муниципальных служащих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Шаровичское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поселение»  увеличить (проиндексировать) в 1,040 раза с 1 октября 2022 года размеры месячных окладов муниципальных служащих 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замещенными ими должностями муниципальной службы.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без внесения изменений в настоящее Решение: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межбюджетных трансфертов, предусмотренных к предоставлению из других уровней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Брянской области и безвозмездных поступлений от физических и юридических лиц сверх объемов, утвержденных настоящим Решением, или сокращение (возврат при отсутствии потребности)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нем средств;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бюджетных ассигнований, соответствующих целям предоставления из областного бюджета субсидий, субвенций и иных </w:t>
      </w:r>
      <w:r>
        <w:rPr>
          <w:rFonts w:ascii="Times New Roman" w:hAnsi="Times New Roman"/>
          <w:sz w:val="28"/>
          <w:szCs w:val="28"/>
        </w:rPr>
        <w:lastRenderedPageBreak/>
        <w:t>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Российской Федерации; 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сверх утвержденных решением о бюджете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по основаниям, установленным пунктом 2 статьи 232 Бюджетного кодекса Российской Федерации;</w:t>
      </w:r>
      <w:proofErr w:type="gramEnd"/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кодов бюджетной классификации расходов в рамках требований казначейского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а также в случае изменения Министерством финансов Российской Федерации, департаментом финансов Брянской области и финансовым 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порядка применения бюджетной классификации;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соответствии с действующим законодательством;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</w:t>
      </w:r>
      <w:r>
        <w:rPr>
          <w:rFonts w:ascii="Times New Roman" w:hAnsi="Times New Roman"/>
          <w:sz w:val="28"/>
          <w:szCs w:val="28"/>
        </w:rPr>
        <w:lastRenderedPageBreak/>
        <w:t>ассигнований по соответствующему виду расходов не превышает  10 процентов;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областного бюджета бюджетам муниципальных образований в соответствии со статьей 139 Бюджетного кодекса Российской Федерации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по решению вопросов местного значения, утверждаемым законом о бюджете субъекта Российской Федерации.</w:t>
      </w:r>
    </w:p>
    <w:p w:rsidR="004A1365" w:rsidRDefault="004A1365" w:rsidP="004A1365">
      <w:pPr>
        <w:widowControl/>
        <w:tabs>
          <w:tab w:val="num" w:pos="1637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пределах, предусмотренных главным распорядителям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в соответствии с пунктами 12 Правил формирования, предоставления и распределения субсидий из областного бюджета бюджетам муниципальных образований Брянской области, утвержденных постановлением Правительства Брянской области от 23.07.2018 №362-п  «Об утверждении Правил формирования, предоставления и распределения субсидий из областного бюджета бюджетам муниципальных образований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области», а также в случаях нарушения обязательств, предусмотренных порядками (правилами) предоставления и распределения иных межбюджетных трансфертов.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четвертым и шестым настоящего пункта, в соответствии с которыми внесение изменений в </w:t>
      </w:r>
      <w:r>
        <w:rPr>
          <w:rFonts w:ascii="Times New Roman" w:hAnsi="Times New Roman"/>
          <w:sz w:val="28"/>
          <w:szCs w:val="28"/>
        </w:rPr>
        <w:lastRenderedPageBreak/>
        <w:t>сводную бюджетную роспись может осуществляться с превышением общего объема расходов, утвержденных настоящим Решением</w:t>
      </w:r>
      <w:proofErr w:type="gramEnd"/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Установить источники финансирования дефицита бюджета на очередной финансовый год  согласно  </w:t>
      </w:r>
      <w:r>
        <w:rPr>
          <w:rFonts w:ascii="Times New Roman" w:hAnsi="Times New Roman"/>
          <w:color w:val="3366FF"/>
          <w:sz w:val="28"/>
          <w:szCs w:val="28"/>
        </w:rPr>
        <w:t>приложению 6.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Установить верхний предел муниципального внутреннего долга бюджета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по муниципальным </w:t>
      </w:r>
      <w:r>
        <w:rPr>
          <w:rFonts w:ascii="Times New Roman" w:hAnsi="Times New Roman"/>
          <w:color w:val="000000"/>
          <w:sz w:val="28"/>
          <w:szCs w:val="28"/>
        </w:rPr>
        <w:t>гарантиям в валюте Российской Федерации на 1 января 2023 года в сумме  0,0 рублей, на 1 января 2024 года в сумме 0,0 рублей и на 1 января 2025 года в сумме 0,0 рублей</w:t>
      </w:r>
      <w:r>
        <w:rPr>
          <w:rFonts w:ascii="Times New Roman" w:hAnsi="Times New Roman"/>
          <w:sz w:val="28"/>
          <w:szCs w:val="28"/>
        </w:rPr>
        <w:t>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17.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ежеквартально представлять в </w:t>
      </w:r>
      <w:proofErr w:type="spellStart"/>
      <w:r>
        <w:rPr>
          <w:rFonts w:ascii="Times New Roman" w:hAnsi="Times New Roman"/>
          <w:sz w:val="28"/>
          <w:szCs w:val="28"/>
        </w:rPr>
        <w:t>Шаровичский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 Совет народных депутатов и контрольно-счетную палату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утвержденный  отчет  об  исполнении местного  бюджета   в течение 45 дней после наступления отчетной даты.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  Обнародовать решение «О бюджете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2022год и на плановый  период 2023 и 2024 годов» в сборнике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и разместить 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в сети Интернет. 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 Настоящее решение вступает в силу с 1 января 2022 года.</w:t>
      </w: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tabs>
          <w:tab w:val="num" w:pos="1637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A1365" w:rsidRDefault="004A1365" w:rsidP="004A1365">
      <w:pPr>
        <w:widowControl/>
        <w:jc w:val="both"/>
        <w:rPr>
          <w:rFonts w:ascii="Times New Roman" w:hAnsi="Times New Roman"/>
          <w:sz w:val="28"/>
        </w:rPr>
      </w:pPr>
    </w:p>
    <w:p w:rsidR="00E97D41" w:rsidRDefault="004A1365" w:rsidP="004A1365">
      <w:r>
        <w:rPr>
          <w:rFonts w:ascii="Times New Roman" w:hAnsi="Times New Roman"/>
          <w:snapToGrid w:val="0"/>
          <w:sz w:val="28"/>
        </w:rPr>
        <w:t xml:space="preserve">Глава  </w:t>
      </w:r>
      <w:proofErr w:type="spellStart"/>
      <w:r>
        <w:rPr>
          <w:rFonts w:ascii="Times New Roman" w:hAnsi="Times New Roman"/>
          <w:snapToGrid w:val="0"/>
          <w:sz w:val="28"/>
        </w:rPr>
        <w:t>Шаровичского</w:t>
      </w:r>
      <w:proofErr w:type="spellEnd"/>
      <w:r>
        <w:rPr>
          <w:rFonts w:ascii="Times New Roman" w:hAnsi="Times New Roman"/>
          <w:snapToGrid w:val="0"/>
          <w:sz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napToGrid w:val="0"/>
          <w:sz w:val="28"/>
        </w:rPr>
        <w:t>И.А.Дудко</w:t>
      </w:r>
      <w:proofErr w:type="spellEnd"/>
      <w:r>
        <w:rPr>
          <w:rFonts w:ascii="Times New Roman" w:hAnsi="Times New Roman"/>
          <w:snapToGrid w:val="0"/>
          <w:sz w:val="28"/>
        </w:rPr>
        <w:t xml:space="preserve">       </w:t>
      </w:r>
    </w:p>
    <w:sectPr w:rsidR="00E97D41" w:rsidSect="00081C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94"/>
    <w:rsid w:val="00081CD8"/>
    <w:rsid w:val="00483294"/>
    <w:rsid w:val="004A1365"/>
    <w:rsid w:val="00E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5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5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2069</Words>
  <Characters>11795</Characters>
  <Application>Microsoft Office Word</Application>
  <DocSecurity>0</DocSecurity>
  <Lines>98</Lines>
  <Paragraphs>27</Paragraphs>
  <ScaleCrop>false</ScaleCrop>
  <Company>Home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2021-12-30T10:14:00Z</dcterms:created>
  <dcterms:modified xsi:type="dcterms:W3CDTF">2021-12-30T10:22:00Z</dcterms:modified>
</cp:coreProperties>
</file>