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4F2250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Определены некоторые особенности проведения контрольных (надзорных) мероприятий в 2023 году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Постановлением Правительством Российской Федерации от 01.10.2022 № 1743 внесены изменения в особенности организации и осуществления государственного контроля (надзора), муниципального контроля.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Установлено, что плановые контрольные (надзорные) мероприятия, плановые проверки в 2023 году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 xml:space="preserve">Указанные ограничения не распространяются на виды государственного контроля (надзора), в отношении которых не применяется </w:t>
      </w:r>
      <w:proofErr w:type="gramStart"/>
      <w:r w:rsidRPr="00466B7E">
        <w:rPr>
          <w:color w:val="333333"/>
          <w:sz w:val="28"/>
          <w:szCs w:val="28"/>
        </w:rPr>
        <w:t>риск-ориентированный</w:t>
      </w:r>
      <w:proofErr w:type="gramEnd"/>
      <w:r w:rsidRPr="00466B7E">
        <w:rPr>
          <w:color w:val="333333"/>
          <w:sz w:val="28"/>
          <w:szCs w:val="28"/>
        </w:rPr>
        <w:t xml:space="preserve"> подход.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В планы проведения плановых контрольных (надзорных) мероприятий на 2023 год не подлежат также включению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риска.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Предусмотрено, что контролируемое лицо вправе обратиться в контрольный (надзорный) орган с просьбой о проведении профилактического визита.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 xml:space="preserve">В случае если такое обращение поступило не </w:t>
      </w:r>
      <w:proofErr w:type="gramStart"/>
      <w:r w:rsidRPr="00466B7E">
        <w:rPr>
          <w:color w:val="333333"/>
          <w:sz w:val="28"/>
          <w:szCs w:val="28"/>
        </w:rPr>
        <w:t>позднее</w:t>
      </w:r>
      <w:proofErr w:type="gramEnd"/>
      <w:r w:rsidRPr="00466B7E">
        <w:rPr>
          <w:color w:val="333333"/>
          <w:sz w:val="28"/>
          <w:szCs w:val="28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 w:rsidRPr="00466B7E">
        <w:rPr>
          <w:color w:val="333333"/>
          <w:sz w:val="28"/>
          <w:szCs w:val="28"/>
        </w:rPr>
        <w:t>позднее</w:t>
      </w:r>
      <w:proofErr w:type="gramEnd"/>
      <w:r w:rsidRPr="00466B7E">
        <w:rPr>
          <w:color w:val="333333"/>
          <w:sz w:val="28"/>
          <w:szCs w:val="28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466B7E">
        <w:rPr>
          <w:color w:val="333333"/>
          <w:sz w:val="28"/>
          <w:szCs w:val="28"/>
        </w:rPr>
        <w:t>Постановление Правительства Российской Федерации от 01.10.2022 № 1743 «О внесении изменений в постановление Правительства Российской Федерации от 10 марта 2022 г. № 336» вступило в силу 03.10.2022.</w:t>
      </w: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B7E"/>
    <w:rsid w:val="00466B7E"/>
    <w:rsid w:val="004F2250"/>
    <w:rsid w:val="005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Рогнединский район</dc:creator>
  <cp:keywords/>
  <dc:description/>
  <cp:lastModifiedBy>инспектор</cp:lastModifiedBy>
  <cp:revision>4</cp:revision>
  <dcterms:created xsi:type="dcterms:W3CDTF">2023-02-01T14:58:00Z</dcterms:created>
  <dcterms:modified xsi:type="dcterms:W3CDTF">2023-02-03T08:35:00Z</dcterms:modified>
</cp:coreProperties>
</file>